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106"/>
        <w:tblBorders>
          <w:top w:val="none"/>
          <w:left w:val="none"/>
          <w:bottom w:val="none"/>
          <w:right w:val="none"/>
          <w:insideH w:val="none"/>
          <w:insideV w:val="none"/>
        </w:tblBorders>
      </w:tblPr>
      <w:tblGrid>
        <w:gridCol w:w="900"/>
        <w:gridCol w:w="90"/>
        <w:gridCol w:w="4000"/>
      </w:tblGrid>
      <w:tr>
        <w:tc>
          <w:tcPr>
            <w:tcW w:type="dxa" w:w="900"/>
            <w:tcMar>
              <w:top w:type="dxa" w:w="40"/>
              <w:left w:type="dxa" w:w="0"/>
              <w:bottom w:type="dxa" w:w="40"/>
              <w:right w:type="dxa" w:w="0"/>
            </w:tcMar>
            <w:vAlign w:val="center"/>
          </w:tcPr>
          <w:tbl>
            <w:tblPr>
              <w:tblW w:type="dxa" w:w="7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60"/>
              <w:gridCol w:w="260"/>
              <w:gridCol w:w="260"/>
            </w:tblGrid>
            <w:tr>
              <w:trPr>
                <w:trHeight w:val="260" w:hRule="exact"/>
              </w:trPr>
              <w:tc>
                <w:tcPr>
                  <w:tcW w:type="dxa" w:w="260"/>
                  <w:tcBorders>
                    <w:top w:val="single" w:color="FFFFFF" w:sz="10"/>
                    <w:left w:val="single" w:color="FFFFFF" w:sz="10"/>
                    <w:bottom w:val="single" w:color="FFFFFF" w:sz="10"/>
                    <w:right w:val="single" w:color="FFFFFF" w:sz="10"/>
                  </w:tcBorders>
                  <w:shd w:fill="3D3D3D" w:val="clear"/>
                  <w:tcMar>
                    <w:top w:type="dxa" w:w="0"/>
                    <w:left w:type="dxa" w:w="0"/>
                    <w:bottom w:type="dxa" w:w="0"/>
                    <w:right w:type="dxa" w:w="0"/>
                  </w:tcMar>
                  <w:vAlign w:val="center"/>
                </w:tcPr>
                <w:p>
                  <w:r>
                    <w:rPr>
                      <w:sz w:val="2"/>
                      <w:szCs w:val="2"/>
                    </w:rPr>
                    <w:t xml:space="preserve"/>
                  </w:r>
                </w:p>
              </w:tc>
              <w:tc>
                <w:tcPr>
                  <w:tcW w:type="dxa" w:w="260"/>
                  <w:tcBorders>
                    <w:top w:val="single" w:color="FFFFFF" w:sz="10"/>
                    <w:left w:val="single" w:color="FFFFFF" w:sz="10"/>
                    <w:bottom w:val="single" w:color="FFFFFF" w:sz="10"/>
                    <w:right w:val="single" w:color="FFFFFF" w:sz="10"/>
                  </w:tcBorders>
                  <w:shd w:fill="888888" w:val="clear"/>
                  <w:tcMar>
                    <w:top w:type="dxa" w:w="0"/>
                    <w:left w:type="dxa" w:w="0"/>
                    <w:bottom w:type="dxa" w:w="0"/>
                    <w:right w:type="dxa" w:w="0"/>
                  </w:tcMar>
                  <w:vAlign w:val="center"/>
                </w:tcPr>
                <w:p>
                  <w:r>
                    <w:rPr>
                      <w:sz w:val="2"/>
                      <w:szCs w:val="2"/>
                    </w:rPr>
                    <w:t xml:space="preserve"/>
                  </w:r>
                </w:p>
              </w:tc>
              <w:tc>
                <w:tcPr>
                  <w:tcW w:type="dxa" w:w="260"/>
                  <w:tcBorders>
                    <w:top w:val="single" w:color="FFFFFF" w:sz="10"/>
                    <w:left w:val="single" w:color="FFFFFF" w:sz="10"/>
                    <w:bottom w:val="single" w:color="FFFFFF" w:sz="10"/>
                    <w:right w:val="single" w:color="FFFFFF" w:sz="10"/>
                  </w:tcBorders>
                  <w:shd w:fill="BBBBBB" w:val="clear"/>
                  <w:tcMar>
                    <w:top w:type="dxa" w:w="0"/>
                    <w:left w:type="dxa" w:w="0"/>
                    <w:bottom w:type="dxa" w:w="0"/>
                    <w:right w:type="dxa" w:w="0"/>
                  </w:tcMar>
                  <w:vAlign w:val="center"/>
                </w:tcPr>
                <w:p>
                  <w:r>
                    <w:rPr>
                      <w:sz w:val="2"/>
                      <w:szCs w:val="2"/>
                    </w:rPr>
                    <w:t xml:space="preserve"/>
                  </w:r>
                </w:p>
              </w:tc>
            </w:tr>
            <w:tr>
              <w:trPr>
                <w:trHeight w:val="260" w:hRule="exact"/>
              </w:trPr>
              <w:tc>
                <w:tcPr>
                  <w:tcW w:type="dxa" w:w="260"/>
                  <w:tcBorders>
                    <w:top w:val="single" w:color="FFFFFF" w:sz="10"/>
                    <w:left w:val="single" w:color="FFFFFF" w:sz="10"/>
                    <w:bottom w:val="single" w:color="FFFFFF" w:sz="10"/>
                    <w:right w:val="single" w:color="FFFFFF" w:sz="10"/>
                  </w:tcBorders>
                  <w:shd w:fill="5C8A1E" w:val="clear"/>
                  <w:tcMar>
                    <w:top w:type="dxa" w:w="0"/>
                    <w:left w:type="dxa" w:w="0"/>
                    <w:bottom w:type="dxa" w:w="0"/>
                    <w:right w:type="dxa" w:w="0"/>
                  </w:tcMar>
                  <w:vAlign w:val="center"/>
                </w:tcPr>
                <w:p>
                  <w:r>
                    <w:rPr>
                      <w:sz w:val="2"/>
                      <w:szCs w:val="2"/>
                    </w:rPr>
                    <w:t xml:space="preserve"/>
                  </w:r>
                </w:p>
              </w:tc>
              <w:tc>
                <w:tcPr>
                  <w:tcW w:type="dxa" w:w="260"/>
                  <w:tcBorders>
                    <w:top w:val="single" w:color="FFFFFF" w:sz="10"/>
                    <w:left w:val="single" w:color="FFFFFF" w:sz="10"/>
                    <w:bottom w:val="single" w:color="FFFFFF" w:sz="10"/>
                    <w:right w:val="single" w:color="FFFFFF" w:sz="10"/>
                  </w:tcBorders>
                  <w:shd w:fill="BBBBBB" w:val="clear"/>
                  <w:tcMar>
                    <w:top w:type="dxa" w:w="0"/>
                    <w:left w:type="dxa" w:w="0"/>
                    <w:bottom w:type="dxa" w:w="0"/>
                    <w:right w:type="dxa" w:w="0"/>
                  </w:tcMar>
                  <w:vAlign w:val="center"/>
                </w:tcPr>
                <w:p>
                  <w:r>
                    <w:rPr>
                      <w:sz w:val="2"/>
                      <w:szCs w:val="2"/>
                    </w:rPr>
                    <w:t xml:space="preserve"/>
                  </w:r>
                </w:p>
              </w:tc>
              <w:tc>
                <w:tcPr>
                  <w:tcW w:type="dxa" w:w="260"/>
                  <w:tcBorders>
                    <w:top w:val="single" w:color="FFFFFF" w:sz="10"/>
                    <w:left w:val="single" w:color="FFFFFF" w:sz="10"/>
                    <w:bottom w:val="single" w:color="FFFFFF" w:sz="10"/>
                    <w:right w:val="single" w:color="FFFFFF" w:sz="10"/>
                  </w:tcBorders>
                  <w:shd w:fill="5C8A1E" w:val="clear"/>
                  <w:tcMar>
                    <w:top w:type="dxa" w:w="0"/>
                    <w:left w:type="dxa" w:w="0"/>
                    <w:bottom w:type="dxa" w:w="0"/>
                    <w:right w:type="dxa" w:w="0"/>
                  </w:tcMar>
                  <w:vAlign w:val="center"/>
                </w:tcPr>
                <w:p>
                  <w:r>
                    <w:rPr>
                      <w:sz w:val="2"/>
                      <w:szCs w:val="2"/>
                    </w:rPr>
                    <w:t xml:space="preserve"/>
                  </w:r>
                </w:p>
              </w:tc>
            </w:tr>
            <w:tr>
              <w:trPr>
                <w:trHeight w:val="260" w:hRule="exact"/>
              </w:trPr>
              <w:tc>
                <w:tcPr>
                  <w:tcW w:type="dxa" w:w="260"/>
                  <w:tcBorders>
                    <w:top w:val="single" w:color="FFFFFF" w:sz="10"/>
                    <w:left w:val="single" w:color="FFFFFF" w:sz="10"/>
                    <w:bottom w:val="single" w:color="FFFFFF" w:sz="10"/>
                    <w:right w:val="single" w:color="FFFFFF" w:sz="10"/>
                  </w:tcBorders>
                  <w:shd w:fill="BBBBBB" w:val="clear"/>
                  <w:tcMar>
                    <w:top w:type="dxa" w:w="0"/>
                    <w:left w:type="dxa" w:w="0"/>
                    <w:bottom w:type="dxa" w:w="0"/>
                    <w:right w:type="dxa" w:w="0"/>
                  </w:tcMar>
                  <w:vAlign w:val="center"/>
                </w:tcPr>
                <w:p>
                  <w:r>
                    <w:rPr>
                      <w:sz w:val="2"/>
                      <w:szCs w:val="2"/>
                    </w:rPr>
                    <w:t xml:space="preserve"/>
                  </w:r>
                </w:p>
              </w:tc>
              <w:tc>
                <w:tcPr>
                  <w:tcW w:type="dxa" w:w="260"/>
                  <w:tcBorders>
                    <w:top w:val="single" w:color="FFFFFF" w:sz="10"/>
                    <w:left w:val="single" w:color="FFFFFF" w:sz="10"/>
                    <w:bottom w:val="single" w:color="FFFFFF" w:sz="10"/>
                    <w:right w:val="single" w:color="FFFFFF" w:sz="10"/>
                  </w:tcBorders>
                  <w:shd w:fill="5C8A1E" w:val="clear"/>
                  <w:tcMar>
                    <w:top w:type="dxa" w:w="0"/>
                    <w:left w:type="dxa" w:w="0"/>
                    <w:bottom w:type="dxa" w:w="0"/>
                    <w:right w:type="dxa" w:w="0"/>
                  </w:tcMar>
                  <w:vAlign w:val="center"/>
                </w:tcPr>
                <w:p>
                  <w:r>
                    <w:rPr>
                      <w:sz w:val="2"/>
                      <w:szCs w:val="2"/>
                    </w:rPr>
                    <w:t xml:space="preserve"/>
                  </w:r>
                </w:p>
              </w:tc>
              <w:tc>
                <w:tcPr>
                  <w:tcW w:type="dxa" w:w="260"/>
                  <w:tcBorders>
                    <w:top w:val="single" w:color="FFFFFF" w:sz="10"/>
                    <w:left w:val="single" w:color="FFFFFF" w:sz="10"/>
                    <w:bottom w:val="single" w:color="FFFFFF" w:sz="10"/>
                    <w:right w:val="single" w:color="FFFFFF" w:sz="10"/>
                  </w:tcBorders>
                  <w:shd w:fill="3D3D3D" w:val="clear"/>
                  <w:tcMar>
                    <w:top w:type="dxa" w:w="0"/>
                    <w:left w:type="dxa" w:w="0"/>
                    <w:bottom w:type="dxa" w:w="0"/>
                    <w:right w:type="dxa" w:w="0"/>
                  </w:tcMar>
                  <w:vAlign w:val="center"/>
                </w:tcPr>
                <w:p>
                  <w:r>
                    <w:rPr>
                      <w:sz w:val="2"/>
                      <w:szCs w:val="2"/>
                    </w:rPr>
                    <w:t xml:space="preserve"/>
                  </w:r>
                </w:p>
              </w:tc>
            </w:tr>
          </w:tbl>
          <w:p/>
        </w:tc>
        <w:tc>
          <w:tcPr>
            <w:tcW w:type="dxa" w:w="90"/>
            <w:tcBorders>
              <w:right w:val="single" w:color="E5E5E5" w:sz="8"/>
            </w:tcBorders>
            <w:tcMar>
              <w:top w:type="dxa" w:w="0"/>
              <w:left w:type="dxa" w:w="0"/>
              <w:bottom w:type="dxa" w:w="0"/>
              <w:right w:type="dxa" w:w="0"/>
            </w:tcMar>
          </w:tcPr>
          <w:p/>
        </w:tc>
        <w:tc>
          <w:tcPr>
            <w:tcW w:type="dxa" w:w="4000"/>
            <w:tcMar>
              <w:top w:type="dxa" w:w="0"/>
              <w:left w:type="dxa" w:w="200"/>
              <w:bottom w:type="dxa" w:w="0"/>
              <w:right w:type="dxa" w:w="0"/>
            </w:tcMar>
            <w:vAlign w:val="center"/>
          </w:tcPr>
          <w:p>
            <w:pPr>
              <w:spacing w:after="10"/>
            </w:pPr>
            <w:r>
              <w:rPr>
                <w:b/>
                <w:bCs/>
                <w:color w:val="888888"/>
                <w:spacing w:val="40"/>
                <w:sz w:val="15"/>
                <w:szCs w:val="15"/>
              </w:rPr>
              <w:t xml:space="preserve">DOING</w:t>
            </w:r>
          </w:p>
          <w:p>
            <w:pPr>
              <w:spacing w:after="10"/>
            </w:pPr>
            <w:r>
              <w:rPr>
                <w:b/>
                <w:bCs/>
                <w:color w:val="5C8A1E"/>
                <w:spacing w:val="8"/>
                <w:sz w:val="34"/>
                <w:szCs w:val="34"/>
              </w:rPr>
              <w:t xml:space="preserve">DENSITY</w:t>
            </w:r>
          </w:p>
          <w:p>
            <w:r>
              <w:rPr>
                <w:b/>
                <w:bCs/>
                <w:color w:val="888888"/>
                <w:spacing w:val="40"/>
                <w:sz w:val="15"/>
                <w:szCs w:val="15"/>
              </w:rPr>
              <w:t xml:space="preserve">BETTER</w:t>
            </w:r>
          </w:p>
        </w:tc>
      </w:tr>
    </w:tbl>
    <w:p>
      <w:pPr>
        <w:pBdr>
          <w:bottom w:val="single" w:color="5C8A1E" w:sz="16" w:space="6"/>
        </w:pBdr>
        <w:spacing w:after="180" w:before="100"/>
      </w:pPr>
      <w:r>
        <w:rPr>
          <w:i/>
          <w:iCs/>
          <w:color w:val="888888"/>
          <w:sz w:val="16"/>
          <w:szCs w:val="16"/>
        </w:rPr>
        <w:t xml:space="preserve">An alliance of NSW community groups &amp; part of the Better Planning Network  |  doingdensitybetter.org</w:t>
      </w:r>
    </w:p>
    <w:p>
      <w:pPr>
        <w:spacing w:after="60"/>
      </w:pPr>
      <w:r>
        <w:rPr>
          <w:b/>
          <w:bCs/>
          <w:color w:val="5C8A1E"/>
          <w:spacing w:val="8"/>
          <w:sz w:val="20"/>
          <w:szCs w:val="20"/>
        </w:rPr>
        <w:t xml:space="preserve">MEDIA RELEASE</w:t>
      </w:r>
      <w:r>
        <w:t xml:space="preserve">                                                                 </w:t>
      </w:r>
      <w:r>
        <w:rPr>
          <w:color w:val="888888"/>
          <w:sz w:val="18"/>
          <w:szCs w:val="18"/>
        </w:rPr>
        <w:t xml:space="preserve">For immediate release — 9 August 2026</w:t>
      </w:r>
    </w:p>
    <w:p>
      <w:pPr>
        <w:spacing w:after="60" w:before="100"/>
      </w:pPr>
      <w:r>
        <w:rPr>
          <w:rFonts w:ascii="Georgia" w:cs="Georgia" w:eastAsia="Georgia" w:hAnsi="Georgia"/>
          <w:b/>
          <w:bCs/>
          <w:color w:val="1A1A1A"/>
          <w:sz w:val="32"/>
          <w:szCs w:val="32"/>
        </w:rPr>
        <w:t xml:space="preserve">Doing Density Better welcomes the Coalition’s move to offer an alternative to the one-size-fits-all housing mandate</w:t>
      </w:r>
    </w:p>
    <w:p>
      <w:pPr>
        <w:spacing w:after="170"/>
      </w:pPr>
      <w:r>
        <w:rPr>
          <w:i/>
          <w:iCs/>
          <w:color w:val="444444"/>
          <w:sz w:val="21"/>
          <w:szCs w:val="21"/>
        </w:rPr>
        <w:t xml:space="preserve">Alliance says sustainable housing supply depends on planning with local communities, not imposing uniform controls on them.</w:t>
      </w:r>
    </w:p>
    <w:p>
      <w:pPr>
        <w:spacing w:after="130"/>
      </w:pPr>
      <w:r>
        <w:rPr>
          <w:b/>
          <w:bCs/>
          <w:sz w:val="21"/>
          <w:szCs w:val="21"/>
        </w:rPr>
        <w:t xml:space="preserve">SYDNEY — </w:t>
      </w:r>
      <w:r>
        <w:rPr>
          <w:sz w:val="21"/>
          <w:szCs w:val="21"/>
        </w:rPr>
        <w:t xml:space="preserve">Doing Density Better (DDB), an alliance of more than 25 community action groups across NSW, has welcomed this week’s announcement by NSW Liberal and Nationals leader Kellie Sloane of a proposed alternative pathway to the Minns Government’s Low and Mid-Rise Housing (LMR) reforms, describing it as an overdue recognition that a single statewide template cannot deliver well-planned housing in every community.</w:t>
      </w:r>
    </w:p>
    <w:p>
      <w:pPr>
        <w:spacing w:after="130"/>
      </w:pPr>
      <w:r>
        <w:rPr>
          <w:sz w:val="21"/>
          <w:szCs w:val="21"/>
        </w:rPr>
        <w:t xml:space="preserve">“Communities are not rejecting more housing,” spokesperson Jacqui Brosnan said. “They are asking for planning that recognises local conditions, infrastructure capacity and the value of meaningful consultation. What the Government planning reforms have produced instead is widespread spot-rezoning that councils and professional planners deride as bad planning. Ms Sloane’s proposal recognises that flexibility and community voice are essential to delivering well-planned, sustainable housing.”</w:t>
      </w:r>
    </w:p>
    <w:p>
      <w:pPr>
        <w:spacing w:after="130"/>
      </w:pPr>
      <w:r>
        <w:rPr>
          <w:sz w:val="21"/>
          <w:szCs w:val="21"/>
        </w:rPr>
        <w:t xml:space="preserve">The alliance noted that in many suburbs, existing incentives have led to proposals for high-rise luxury apartments in premium locations, while more affordable housing stock is being demolished. “This pattern shows why local strategic planning matters,” Ms Brosnan said. “Communities want growth that delivers real, permanent affordable housing — not development that prices out the very people these policies are meant to support.”</w:t>
      </w:r>
    </w:p>
    <w:p>
      <w:pPr>
        <w:spacing w:after="130"/>
      </w:pPr>
      <w:r>
        <w:rPr>
          <w:sz w:val="21"/>
          <w:szCs w:val="21"/>
        </w:rPr>
        <w:t xml:space="preserve">DDB emphasised that giving councils and communities a genuine voice will help ensure housing is delivered in a way that aligns with infrastructure capacity, including transport, schools, health services, open space and utilities, while responding to local conditions. It will also help address the cumulative planning pressures many communities are facing. “We welcome reform that strengthens transparency, community involvement and responsible planning,” Ms Brosnan said. “We look forward to working constructively with MPs, councils and stakeholders on solutions that deliver density done well, real affordable housing, and infrastructure first.”</w:t>
      </w:r>
    </w:p>
    <w:p>
      <w:pPr>
        <w:spacing w:after="130"/>
      </w:pPr>
      <w:r>
        <w:rPr>
          <w:sz w:val="21"/>
          <w:szCs w:val="21"/>
        </w:rPr>
        <w:t xml:space="preserve">“You cannot address a housing crisis with a policy that sidelines the councils and communities who actually understand where growth can be absorbed.”</w:t>
      </w:r>
    </w:p>
    <w:p>
      <w:pPr>
        <w:spacing w:after="200"/>
      </w:pPr>
      <w:r>
        <w:rPr>
          <w:sz w:val="21"/>
          <w:szCs w:val="21"/>
        </w:rPr>
        <w:t xml:space="preserve">DDB is calling on all parties to use the run-up to the 2027 state election to commit to a genuinely place-based housing strategy — one that lets density follow infrastructure, evidence and local strategic planning, rather than imposing a blanket statewide rule.</w:t>
      </w:r>
    </w:p>
    <w:p>
      <w:pPr>
        <w:pBdr>
          <w:bottom w:val="single" w:color="E5E5E5" w:sz="6" w:space="4"/>
        </w:pBdr>
        <w:spacing w:after="200"/>
      </w:pPr>
      <w:r>
        <w:t xml:space="preserve"/>
      </w:r>
    </w:p>
    <w:p>
      <w:pPr>
        <w:spacing w:after="0"/>
      </w:pP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10106"/>
      </w:tblGrid>
      <w:tr>
        <w:tc>
          <w:tcPr>
            <w:tcW w:type="dxa" w:w="10106"/>
            <w:tcBorders>
              <w:left w:val="single" w:color="5C8A1E" w:sz="24"/>
            </w:tcBorders>
            <w:shd w:fill="F7F7F5" w:val="clear"/>
            <w:tcMar>
              <w:top w:type="dxa" w:w="180"/>
              <w:left w:type="dxa" w:w="260"/>
              <w:bottom w:type="dxa" w:w="180"/>
              <w:right w:type="dxa" w:w="220"/>
            </w:tcMar>
          </w:tcPr>
          <w:p>
            <w:pPr>
              <w:spacing w:after="60"/>
            </w:pPr>
            <w:r>
              <w:rPr>
                <w:b/>
                <w:bCs/>
                <w:color w:val="1A1A1A"/>
                <w:sz w:val="19"/>
                <w:szCs w:val="19"/>
              </w:rPr>
              <w:t xml:space="preserve">About Doing Density Better</w:t>
            </w:r>
          </w:p>
          <w:p>
            <w:pPr>
              <w:spacing w:after="110"/>
            </w:pPr>
            <w:r>
              <w:rPr>
                <w:color w:val="444444"/>
                <w:sz w:val="19"/>
                <w:szCs w:val="19"/>
              </w:rPr>
              <w:t xml:space="preserve">Doing Density Better is a NSW-wide alliance of 25+ community action groups advocating for well-planned, infrastructure-backed housing density ahead of the 2027 NSW state election.</w:t>
            </w:r>
          </w:p>
          <w:p>
            <w:pPr>
              <w:spacing w:after="20"/>
            </w:pPr>
            <w:r>
              <w:rPr>
                <w:b/>
                <w:bCs/>
                <w:color w:val="1A1A1A"/>
                <w:sz w:val="19"/>
                <w:szCs w:val="19"/>
              </w:rPr>
              <w:t xml:space="preserve">Media contact</w:t>
            </w:r>
          </w:p>
          <w:p>
            <w:r>
              <w:rPr>
                <w:color w:val="444444"/>
                <w:sz w:val="19"/>
                <w:szCs w:val="19"/>
              </w:rPr>
              <w:t xml:space="preserve">Amanda Bull, DDB Spokesperson</w:t>
            </w:r>
            <w:r>
              <w:rPr>
                <w:color w:val="444444"/>
                <w:sz w:val="19"/>
                <w:szCs w:val="19"/>
              </w:rPr>
              <w:t xml:space="preserve">   |   0416 052 330</w:t>
            </w:r>
          </w:p>
        </w:tc>
      </w:tr>
    </w:tbl>
    <w:sectPr>
      <w:pgSz w:w="11906" w:h="16838" w:orient="portrait"/>
      <w:pgMar w:top="480" w:right="900" w:bottom="48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2026-08-09T12:26:02.543Z</dcterms:created>
  <dcterms:modified xsi:type="dcterms:W3CDTF">2026-08-09T12:26:02.543Z</dcterms:modified>
</cp:coreProperties>
</file>

<file path=docProps/custom.xml><?xml version="1.0" encoding="utf-8"?>
<Properties xmlns="http://schemas.openxmlformats.org/officeDocument/2006/custom-properties" xmlns:vt="http://schemas.openxmlformats.org/officeDocument/2006/docPropsVTypes"/>
</file>