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e2d3a" w:val="clear"/>
            <w:tcMar>
              <w:top w:type="dxa" w:w="220"/>
              <w:left w:type="dxa" w:w="260"/>
              <w:bottom w:type="dxa" w:w="160"/>
              <w:right w:type="dxa" w:w="260"/>
            </w:tcMar>
          </w:tcPr>
          <w:tbl>
            <w:tblPr>
              <w:tblW w:type="dxa" w:w="8840"/>
              <w:tblBorders>
                <w:top w:val="none" w:color="FFFFFF" w:sz="0"/>
                <w:left w:val="none" w:color="FFFFFF" w:sz="0"/>
                <w:bottom w:val="none" w:color="FFFFFF" w:sz="0"/>
                <w:right w:val="none" w:color="FFFFFF" w:sz="0"/>
                <w:insideH w:val="single" w:color="auto" w:sz="4"/>
                <w:insideV w:val="single" w:color="auto" w:sz="4"/>
              </w:tblBorders>
            </w:tblPr>
            <w:tblGrid>
              <w:gridCol w:w="100"/>
              <w:gridCol w:w="100"/>
            </w:tblGrid>
            <w:tr>
              <w:tc>
                <w:tcPr>
                  <w:tcW w:type="dxa" w:w="900"/>
                  <w:tcBorders>
                    <w:top w:val="none" w:color="FFFFFF" w:sz="0"/>
                    <w:left w:val="none" w:color="FFFFFF" w:sz="0"/>
                    <w:bottom w:val="none" w:color="FFFFFF" w:sz="0"/>
                    <w:right w:val="none" w:color="FFFFFF" w:sz="0"/>
                  </w:tcBorders>
                  <w:vAlign w:val="center"/>
                </w:tcPr>
                <w:p/>
                <w:tbl>
                  <w:tblPr>
                    <w:tblW w:type="dxa" w:w="780"/>
                    <w:tblBorders>
                      <w:top w:val="none" w:color="FFFFFF" w:sz="0"/>
                      <w:left w:val="none" w:color="FFFFFF" w:sz="0"/>
                      <w:bottom w:val="none" w:color="FFFFFF" w:sz="0"/>
                      <w:right w:val="none" w:color="FFFFFF" w:sz="0"/>
                      <w:insideH w:val="single" w:color="auto" w:sz="4"/>
                      <w:insideV w:val="single" w:color="auto" w:sz="4"/>
                    </w:tblBorders>
                  </w:tblPr>
                  <w:tblGrid>
                    <w:gridCol w:w="100"/>
                    <w:gridCol w:w="100"/>
                    <w:gridCol w:w="100"/>
                  </w:tblGrid>
                  <w:tr>
                    <w:tc>
                      <w:tcPr>
                        <w:tcW w:type="dxa" w:w="220"/>
                        <w:tcBorders>
                          <w:top w:val="none" w:color="FFFFFF" w:sz="0"/>
                          <w:left w:val="none" w:color="FFFFFF" w:sz="0"/>
                          <w:bottom w:val="none" w:color="FFFFFF" w:sz="0"/>
                          <w:right w:val="none" w:color="FFFFFF" w:sz="0"/>
                        </w:tcBorders>
                        <w:shd w:fill="cfcfcf"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9a9a9a"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5c8a1e" w:val="clear"/>
                        <w:tcMar>
                          <w:top w:type="dxa" w:w="20"/>
                          <w:left w:type="dxa" w:w="20"/>
                          <w:bottom w:type="dxa" w:w="20"/>
                          <w:right w:type="dxa" w:w="20"/>
                        </w:tcMar>
                      </w:tcPr>
                      <w:p/>
                    </w:tc>
                  </w:tr>
                  <w:tr>
                    <w:tc>
                      <w:tcPr>
                        <w:tcW w:type="dxa" w:w="220"/>
                        <w:tcBorders>
                          <w:top w:val="none" w:color="FFFFFF" w:sz="0"/>
                          <w:left w:val="none" w:color="FFFFFF" w:sz="0"/>
                          <w:bottom w:val="none" w:color="FFFFFF" w:sz="0"/>
                          <w:right w:val="none" w:color="FFFFFF" w:sz="0"/>
                        </w:tcBorders>
                        <w:shd w:fill="9a9a9a"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5c8a1e"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cfcfcf" w:val="clear"/>
                        <w:tcMar>
                          <w:top w:type="dxa" w:w="20"/>
                          <w:left w:type="dxa" w:w="20"/>
                          <w:bottom w:type="dxa" w:w="20"/>
                          <w:right w:type="dxa" w:w="20"/>
                        </w:tcMar>
                      </w:tcPr>
                      <w:p/>
                    </w:tc>
                  </w:tr>
                  <w:tr>
                    <w:tc>
                      <w:tcPr>
                        <w:tcW w:type="dxa" w:w="220"/>
                        <w:tcBorders>
                          <w:top w:val="none" w:color="FFFFFF" w:sz="0"/>
                          <w:left w:val="none" w:color="FFFFFF" w:sz="0"/>
                          <w:bottom w:val="none" w:color="FFFFFF" w:sz="0"/>
                          <w:right w:val="none" w:color="FFFFFF" w:sz="0"/>
                        </w:tcBorders>
                        <w:shd w:fill="5c8a1e"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cfcfcf"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9a9a9a" w:val="clear"/>
                        <w:tcMar>
                          <w:top w:type="dxa" w:w="20"/>
                          <w:left w:type="dxa" w:w="20"/>
                          <w:bottom w:type="dxa" w:w="20"/>
                          <w:right w:type="dxa" w:w="20"/>
                        </w:tcMar>
                      </w:tcPr>
                      <w:p/>
                    </w:tc>
                  </w:tr>
                </w:tbl>
                <w:p/>
              </w:tc>
              <w:tc>
                <w:tcPr>
                  <w:tcW w:type="dxa" w:w="7940"/>
                  <w:tcBorders>
                    <w:top w:val="none" w:color="FFFFFF" w:sz="0"/>
                    <w:left w:val="none" w:color="FFFFFF" w:sz="0"/>
                    <w:bottom w:val="none" w:color="FFFFFF" w:sz="0"/>
                    <w:right w:val="none" w:color="FFFFFF" w:sz="0"/>
                  </w:tcBorders>
                  <w:tcMar>
                    <w:left w:type="dxa" w:w="200"/>
                  </w:tcMar>
                  <w:vAlign w:val="center"/>
                </w:tcPr>
                <w:p>
                  <w:pPr>
                    <w:spacing w:after="20" w:before="0" w:line="276" w:lineRule="auto"/>
                    <w:jc w:val="left"/>
                  </w:pPr>
                  <w:r>
                    <w:rPr>
                      <w:rFonts w:ascii="Arial" w:cs="Arial" w:eastAsia="Arial" w:hAnsi="Arial"/>
                      <w:b/>
                      <w:bCs/>
                      <w:i w:val="false"/>
                      <w:iCs w:val="false"/>
                      <w:caps/>
                      <w:color w:val="FFFFFF"/>
                      <w:sz w:val="30"/>
                      <w:szCs w:val="30"/>
                    </w:rPr>
                    <w:t xml:space="preserve">DOING DENSITY BETTER</w:t>
                  </w:r>
                </w:p>
                <w:p>
                  <w:pPr>
                    <w:spacing w:after="0" w:before="0" w:line="276" w:lineRule="auto"/>
                    <w:jc w:val="left"/>
                  </w:pPr>
                  <w:r>
                    <w:rPr>
                      <w:rFonts w:ascii="Arial" w:cs="Arial" w:eastAsia="Arial" w:hAnsi="Arial"/>
                      <w:b w:val="false"/>
                      <w:bCs w:val="false"/>
                      <w:i w:val="false"/>
                      <w:iCs w:val="false"/>
                      <w:caps w:val="false"/>
                      <w:color w:val="d4e8a0"/>
                      <w:sz w:val="16"/>
                      <w:szCs w:val="16"/>
                    </w:rPr>
                    <w:t xml:space="preserve">An alliance of NSW community groups  |  part of the Better Planning Network</w:t>
                  </w:r>
                </w:p>
              </w:tc>
            </w:tr>
          </w:tbl>
          <w:p/>
        </w:tc>
      </w:tr>
      <w:tr>
        <w:tc>
          <w:tcPr>
            <w:tcW w:type="dxa" w:w="9360"/>
            <w:tcBorders>
              <w:top w:val="none" w:color="FFFFFF" w:sz="0"/>
              <w:left w:val="none" w:color="FFFFFF" w:sz="0"/>
              <w:bottom w:val="none" w:color="FFFFFF" w:sz="0"/>
              <w:right w:val="none" w:color="FFFFFF" w:sz="0"/>
            </w:tcBorders>
            <w:shd w:fill="5c8a1e" w:val="clear"/>
            <w:tcMar>
              <w:top w:type="dxa" w:w="90"/>
              <w:left w:type="dxa" w:w="260"/>
              <w:bottom w:type="dxa" w:w="90"/>
              <w:right w:type="dxa" w:w="260"/>
            </w:tcMar>
          </w:tcPr>
          <w:p>
            <w:pPr>
              <w:spacing w:after="0" w:before="0" w:line="276" w:lineRule="auto"/>
              <w:jc w:val="left"/>
            </w:pPr>
            <w:r>
              <w:rPr>
                <w:rFonts w:ascii="Arial" w:cs="Arial" w:eastAsia="Arial" w:hAnsi="Arial"/>
                <w:b/>
                <w:bCs/>
                <w:i w:val="false"/>
                <w:iCs w:val="false"/>
                <w:caps/>
                <w:color w:val="FFFFFF"/>
                <w:sz w:val="17"/>
                <w:szCs w:val="17"/>
              </w:rPr>
              <w:t xml:space="preserve">FOR IMMEDIATE RELEASE  |  MONDAY 6 JULY 2026  |  EMBARGO: NIL  |  2 PAGES</w:t>
            </w:r>
          </w:p>
        </w:tc>
      </w:tr>
    </w:tbl>
    <w:p>
      <w:pPr>
        <w:spacing w:after="80" w:before="0"/>
      </w:pPr>
    </w:p>
    <w:p>
      <w:pPr>
        <w:spacing w:after="140" w:before="0" w:line="276" w:lineRule="auto"/>
        <w:jc w:val="left"/>
      </w:pPr>
      <w:r>
        <w:rPr>
          <w:rFonts w:ascii="Arial" w:cs="Arial" w:eastAsia="Arial" w:hAnsi="Arial"/>
          <w:b/>
          <w:bCs/>
          <w:i w:val="false"/>
          <w:iCs w:val="false"/>
          <w:caps/>
          <w:color w:val="5c8a1e"/>
          <w:sz w:val="19"/>
          <w:szCs w:val="19"/>
        </w:rPr>
        <w:t xml:space="preserve">Media Release</w:t>
      </w:r>
    </w:p>
    <w:p>
      <w:pPr>
        <w:pBdr>
          <w:bottom w:val="single" w:color="5c8a1e" w:sz="6"/>
        </w:pBdr>
        <w:spacing w:after="160" w:before="220" w:line="276" w:lineRule="auto"/>
        <w:jc w:val="left"/>
      </w:pPr>
      <w:r>
        <w:rPr>
          <w:rFonts w:ascii="Arial" w:cs="Arial" w:eastAsia="Arial" w:hAnsi="Arial"/>
          <w:b/>
          <w:bCs/>
          <w:i w:val="false"/>
          <w:iCs w:val="false"/>
          <w:caps w:val="false"/>
          <w:color w:val="1e2d3a"/>
          <w:sz w:val="30"/>
          <w:szCs w:val="30"/>
        </w:rPr>
        <w:t xml:space="preserve">NSW Community Alliance Launches at Parliament House</w:t>
      </w:r>
    </w:p>
    <w:p>
      <w:pPr>
        <w:spacing w:after="40" w:before="0" w:line="276" w:lineRule="auto"/>
        <w:jc w:val="left"/>
      </w:pPr>
      <w:r>
        <w:rPr>
          <w:rFonts w:ascii="Arial" w:cs="Arial" w:eastAsia="Arial" w:hAnsi="Arial"/>
          <w:b/>
          <w:bCs/>
          <w:i w:val="false"/>
          <w:iCs w:val="false"/>
          <w:caps w:val="false"/>
          <w:color w:val="3b6d11"/>
          <w:sz w:val="24"/>
          <w:szCs w:val="24"/>
        </w:rPr>
        <w:t xml:space="preserve">Demanding Planning That Works for People</w:t>
      </w:r>
    </w:p>
    <w:p>
      <w:pPr>
        <w:spacing w:after="200" w:before="0" w:line="276" w:lineRule="auto"/>
        <w:jc w:val="left"/>
      </w:pPr>
      <w:r>
        <w:rPr>
          <w:rFonts w:ascii="Arial" w:cs="Arial" w:eastAsia="Arial" w:hAnsi="Arial"/>
          <w:b w:val="false"/>
          <w:bCs w:val="false"/>
          <w:i w:val="false"/>
          <w:iCs w:val="false"/>
          <w:caps w:val="false"/>
          <w:color w:val="1a1a1a"/>
          <w:sz w:val="20"/>
          <w:szCs w:val="20"/>
        </w:rPr>
        <w:t xml:space="preserve">Launch of “Doing Density Better” at NSW Parliament House, 2.00pm, Tuesday 7 July 2026</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A growing alliance of NSW community action groups, whose members come from communities of more than half a million people, is launching Doing Density Better at NSW Parliament House tomorrow.</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Doing Density Better is part of Better Planning Network Inc and has formed in response to NSW Government planning changes, including Transport Oriented Development rezonings, Low and Mid-Rise Housing provisions, and the use of the State Significant Development pathway for residential apartment developments.</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The alliance supports more housing and more density, but says density must be planned properly, supported by infrastructure, be genuinely affordable, environmentally responsible and shaped with meaningful community input.</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“Communities and voters across NSW support housing growth and density that is planned well and is genuinely affordable.</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“Density done badly will not solve the housing crisis. It will displace existing residents, erode trust in the planning system, remove affordable homes, damage heritage and tree canopy, and place more pressure on infrastructure that is already struggling.</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“Doing Density Better aims to make communities and voters aware of these issues and to encourage every voter to ask candidates in the lead up to the next NSW election where they stand on these issues.”</w:t>
      </w:r>
    </w:p>
    <w:p>
      <w:pPr>
        <w:spacing w:after="200" w:before="0" w:line="276" w:lineRule="auto"/>
        <w:jc w:val="left"/>
      </w:pPr>
      <w:r>
        <w:rPr>
          <w:rFonts w:ascii="Arial" w:cs="Arial" w:eastAsia="Arial" w:hAnsi="Arial"/>
          <w:b/>
          <w:bCs/>
          <w:i w:val="false"/>
          <w:iCs w:val="false"/>
          <w:caps w:val="false"/>
          <w:color w:val="777777"/>
          <w:sz w:val="18"/>
          <w:szCs w:val="18"/>
        </w:rPr>
        <w:t xml:space="preserve">— Jacqui Brosnan, Chair, Doing Density Better</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The launch, titled Getting Our House in Order, brings together community representatives, planning advocates and expert speakers to assess recent planning changes and advocate for better policies for genuine affordable housing and better communities, instead of abandoning good planning and simply accelerating developer-led outcomes.</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“Every candidate in the next NSW election should be asked two questions:</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“What’s your plan to deliver housing that is liveable, affordable, and well-serviced for communities?</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“Do you support the current blanket rezonings and rapid development approvals without proper infrastructure or local voice?</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“Today we are putting these issues on the agenda. From now to the next election, voters and their communities will be asking candidates to do the same.”</w:t>
      </w:r>
    </w:p>
    <w:p>
      <w:pPr>
        <w:spacing w:after="200" w:before="0" w:line="276" w:lineRule="auto"/>
        <w:jc w:val="left"/>
      </w:pPr>
      <w:r>
        <w:rPr>
          <w:rFonts w:ascii="Arial" w:cs="Arial" w:eastAsia="Arial" w:hAnsi="Arial"/>
          <w:b/>
          <w:bCs/>
          <w:i w:val="false"/>
          <w:iCs w:val="false"/>
          <w:caps w:val="false"/>
          <w:color w:val="777777"/>
          <w:sz w:val="18"/>
          <w:szCs w:val="18"/>
        </w:rPr>
        <w:t xml:space="preserve">— Jacqui Brosnan</w:t>
      </w:r>
    </w:p>
    <w:p>
      <w:pPr>
        <w:spacing w:after="0" w:before="200" w:line="276" w:lineRule="auto"/>
        <w:jc w:val="center"/>
      </w:pPr>
      <w:r>
        <w:rPr>
          <w:rFonts w:ascii="Arial" w:cs="Arial" w:eastAsia="Arial" w:hAnsi="Arial"/>
          <w:b w:val="false"/>
          <w:bCs w:val="false"/>
          <w:i w:val="false"/>
          <w:iCs w:val="false"/>
          <w:caps w:val="false"/>
          <w:color w:val="777777"/>
          <w:sz w:val="15"/>
          <w:szCs w:val="15"/>
        </w:rPr>
        <w:t xml:space="preserve">Doing Density Better  |  doingdensitybetter@gmail.com</w:t>
      </w:r>
      <w:r>
        <w:rPr>
          <w:rFonts w:ascii="Arial" w:cs="Arial" w:eastAsia="Arial" w:hAnsi="Arial"/>
          <w:b w:val="false"/>
          <w:bCs w:val="false"/>
          <w:i w:val="false"/>
          <w:iCs w:val="false"/>
          <w:caps w:val="false"/>
          <w:color w:val="777777"/>
          <w:sz w:val="15"/>
          <w:szCs w:val="15"/>
        </w:rPr>
        <w:t xml:space="preserve">   —   Page 1 of 2</w:t>
      </w:r>
    </w:p>
    <w:p>
      <w:pPr>
        <w:pageBreakBefore/>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gridCol w:w="100"/>
        <w:gridCol w:w="100"/>
        <w:gridCol w:w="100"/>
      </w:tblGrid>
      <w:tr>
        <w:tc>
          <w:tcPr>
            <w:tcW w:type="dxa" w:w="2340"/>
            <w:tcBorders>
              <w:top w:val="none" w:color="FFFFFF" w:sz="0"/>
              <w:left w:val="none" w:color="FFFFFF" w:sz="0"/>
              <w:bottom w:val="none" w:color="FFFFFF" w:sz="0"/>
              <w:right w:val="none" w:color="FFFFFF" w:sz="0"/>
            </w:tcBorders>
            <w:shd w:fill="1e2d3a" w:val="clear"/>
            <w:tcMar>
              <w:top w:type="dxa" w:w="140"/>
              <w:left w:type="dxa" w:w="100"/>
              <w:bottom w:type="dxa" w:w="140"/>
              <w:right w:type="dxa" w:w="100"/>
            </w:tcMar>
          </w:tcPr>
          <w:p>
            <w:pPr>
              <w:spacing w:after="20" w:before="0" w:line="276" w:lineRule="auto"/>
              <w:jc w:val="center"/>
            </w:pPr>
            <w:r>
              <w:rPr>
                <w:rFonts w:ascii="Arial" w:cs="Arial" w:eastAsia="Arial" w:hAnsi="Arial"/>
                <w:b/>
                <w:bCs/>
                <w:i w:val="false"/>
                <w:iCs w:val="false"/>
                <w:caps w:val="false"/>
                <w:color w:val="FFFFFF"/>
                <w:sz w:val="30"/>
                <w:szCs w:val="30"/>
              </w:rPr>
              <w:t xml:space="preserve">22+</w:t>
            </w:r>
          </w:p>
          <w:p>
            <w:pPr>
              <w:spacing w:after="0" w:before="0" w:line="276" w:lineRule="auto"/>
              <w:jc w:val="center"/>
            </w:pPr>
            <w:r>
              <w:rPr>
                <w:rFonts w:ascii="Arial" w:cs="Arial" w:eastAsia="Arial" w:hAnsi="Arial"/>
                <w:b w:val="false"/>
                <w:bCs w:val="false"/>
                <w:i w:val="false"/>
                <w:iCs w:val="false"/>
                <w:caps/>
                <w:color w:val="FFFFFF"/>
                <w:sz w:val="15"/>
                <w:szCs w:val="15"/>
              </w:rPr>
              <w:t xml:space="preserve">Member Groups</w:t>
            </w:r>
          </w:p>
        </w:tc>
        <w:tc>
          <w:tcPr>
            <w:tcW w:type="dxa" w:w="2340"/>
            <w:tcBorders>
              <w:top w:val="none" w:color="FFFFFF" w:sz="0"/>
              <w:left w:val="none" w:color="FFFFFF" w:sz="0"/>
              <w:bottom w:val="none" w:color="FFFFFF" w:sz="0"/>
              <w:right w:val="none" w:color="FFFFFF" w:sz="0"/>
            </w:tcBorders>
            <w:shd w:fill="3b6d11" w:val="clear"/>
            <w:tcMar>
              <w:top w:type="dxa" w:w="140"/>
              <w:left w:type="dxa" w:w="100"/>
              <w:bottom w:type="dxa" w:w="140"/>
              <w:right w:type="dxa" w:w="100"/>
            </w:tcMar>
          </w:tcPr>
          <w:p>
            <w:pPr>
              <w:spacing w:after="20" w:before="0" w:line="276" w:lineRule="auto"/>
              <w:jc w:val="center"/>
            </w:pPr>
            <w:r>
              <w:rPr>
                <w:rFonts w:ascii="Arial" w:cs="Arial" w:eastAsia="Arial" w:hAnsi="Arial"/>
                <w:b/>
                <w:bCs/>
                <w:i w:val="false"/>
                <w:iCs w:val="false"/>
                <w:caps w:val="false"/>
                <w:color w:val="FFFFFF"/>
                <w:sz w:val="30"/>
                <w:szCs w:val="30"/>
              </w:rPr>
              <w:t xml:space="preserve">500,000+</w:t>
            </w:r>
          </w:p>
          <w:p>
            <w:pPr>
              <w:spacing w:after="0" w:before="0" w:line="276" w:lineRule="auto"/>
              <w:jc w:val="center"/>
            </w:pPr>
            <w:r>
              <w:rPr>
                <w:rFonts w:ascii="Arial" w:cs="Arial" w:eastAsia="Arial" w:hAnsi="Arial"/>
                <w:b w:val="false"/>
                <w:bCs w:val="false"/>
                <w:i w:val="false"/>
                <w:iCs w:val="false"/>
                <w:caps/>
                <w:color w:val="FFFFFF"/>
                <w:sz w:val="15"/>
                <w:szCs w:val="15"/>
              </w:rPr>
              <w:t xml:space="preserve">Community Residents</w:t>
            </w:r>
          </w:p>
        </w:tc>
        <w:tc>
          <w:tcPr>
            <w:tcW w:type="dxa" w:w="2340"/>
            <w:tcBorders>
              <w:top w:val="none" w:color="FFFFFF" w:sz="0"/>
              <w:left w:val="none" w:color="FFFFFF" w:sz="0"/>
              <w:bottom w:val="none" w:color="FFFFFF" w:sz="0"/>
              <w:right w:val="none" w:color="FFFFFF" w:sz="0"/>
            </w:tcBorders>
            <w:shd w:fill="1e2d3a" w:val="clear"/>
            <w:tcMar>
              <w:top w:type="dxa" w:w="140"/>
              <w:left w:type="dxa" w:w="100"/>
              <w:bottom w:type="dxa" w:w="140"/>
              <w:right w:type="dxa" w:w="100"/>
            </w:tcMar>
          </w:tcPr>
          <w:p>
            <w:pPr>
              <w:spacing w:after="20" w:before="0" w:line="276" w:lineRule="auto"/>
              <w:jc w:val="center"/>
            </w:pPr>
            <w:r>
              <w:rPr>
                <w:rFonts w:ascii="Arial" w:cs="Arial" w:eastAsia="Arial" w:hAnsi="Arial"/>
                <w:b/>
                <w:bCs/>
                <w:i w:val="false"/>
                <w:iCs w:val="false"/>
                <w:caps w:val="false"/>
                <w:color w:val="FFFFFF"/>
                <w:sz w:val="30"/>
                <w:szCs w:val="30"/>
              </w:rPr>
              <w:t xml:space="preserve">8</w:t>
            </w:r>
          </w:p>
          <w:p>
            <w:pPr>
              <w:spacing w:after="0" w:before="0" w:line="276" w:lineRule="auto"/>
              <w:jc w:val="center"/>
            </w:pPr>
            <w:r>
              <w:rPr>
                <w:rFonts w:ascii="Arial" w:cs="Arial" w:eastAsia="Arial" w:hAnsi="Arial"/>
                <w:b w:val="false"/>
                <w:bCs w:val="false"/>
                <w:i w:val="false"/>
                <w:iCs w:val="false"/>
                <w:caps/>
                <w:color w:val="FFFFFF"/>
                <w:sz w:val="15"/>
                <w:szCs w:val="15"/>
              </w:rPr>
              <w:t xml:space="preserve">Policy Priorities</w:t>
            </w:r>
          </w:p>
        </w:tc>
        <w:tc>
          <w:tcPr>
            <w:tcW w:type="dxa" w:w="2340"/>
            <w:tcBorders>
              <w:top w:val="none" w:color="FFFFFF" w:sz="0"/>
              <w:left w:val="none" w:color="FFFFFF" w:sz="0"/>
              <w:bottom w:val="none" w:color="FFFFFF" w:sz="0"/>
              <w:right w:val="none" w:color="FFFFFF" w:sz="0"/>
            </w:tcBorders>
            <w:shd w:fill="3b6d11" w:val="clear"/>
            <w:tcMar>
              <w:top w:type="dxa" w:w="140"/>
              <w:left w:type="dxa" w:w="100"/>
              <w:bottom w:type="dxa" w:w="140"/>
              <w:right w:type="dxa" w:w="100"/>
            </w:tcMar>
          </w:tcPr>
          <w:p>
            <w:pPr>
              <w:spacing w:after="20" w:before="0" w:line="276" w:lineRule="auto"/>
              <w:jc w:val="center"/>
            </w:pPr>
            <w:r>
              <w:rPr>
                <w:rFonts w:ascii="Arial" w:cs="Arial" w:eastAsia="Arial" w:hAnsi="Arial"/>
                <w:b/>
                <w:bCs/>
                <w:i w:val="false"/>
                <w:iCs w:val="false"/>
                <w:caps w:val="false"/>
                <w:color w:val="FFFFFF"/>
                <w:sz w:val="30"/>
                <w:szCs w:val="30"/>
              </w:rPr>
              <w:t xml:space="preserve">2027</w:t>
            </w:r>
          </w:p>
          <w:p>
            <w:pPr>
              <w:spacing w:after="0" w:before="0" w:line="276" w:lineRule="auto"/>
              <w:jc w:val="center"/>
            </w:pPr>
            <w:r>
              <w:rPr>
                <w:rFonts w:ascii="Arial" w:cs="Arial" w:eastAsia="Arial" w:hAnsi="Arial"/>
                <w:b w:val="false"/>
                <w:bCs w:val="false"/>
                <w:i w:val="false"/>
                <w:iCs w:val="false"/>
                <w:caps/>
                <w:color w:val="FFFFFF"/>
                <w:sz w:val="15"/>
                <w:szCs w:val="15"/>
              </w:rPr>
              <w:t xml:space="preserve">Election Target</w:t>
            </w:r>
          </w:p>
        </w:tc>
      </w:tr>
    </w:tbl>
    <w:p>
      <w:pPr>
        <w:spacing w:after="80" w:before="0"/>
      </w:pPr>
    </w:p>
    <w:p>
      <w:pPr>
        <w:spacing w:after="140" w:before="0" w:line="276" w:lineRule="auto"/>
        <w:jc w:val="left"/>
      </w:pPr>
      <w:r>
        <w:rPr>
          <w:rFonts w:ascii="Arial" w:cs="Arial" w:eastAsia="Arial" w:hAnsi="Arial"/>
          <w:b/>
          <w:bCs/>
          <w:i w:val="false"/>
          <w:iCs w:val="false"/>
          <w:caps/>
          <w:color w:val="5c8a1e"/>
          <w:sz w:val="19"/>
          <w:szCs w:val="19"/>
        </w:rPr>
        <w:t xml:space="preserve">Eight Policy Priorities</w:t>
      </w:r>
    </w:p>
    <w:p>
      <w:pPr>
        <w:spacing w:after="120" w:before="0" w:line="276" w:lineRule="auto"/>
        <w:jc w:val="left"/>
      </w:pPr>
      <w:r>
        <w:rPr>
          <w:rFonts w:ascii="Arial" w:cs="Arial" w:eastAsia="Arial" w:hAnsi="Arial"/>
          <w:b w:val="false"/>
          <w:bCs w:val="false"/>
          <w:i w:val="false"/>
          <w:iCs w:val="false"/>
          <w:caps w:val="false"/>
          <w:color w:val="1a1a1a"/>
          <w:sz w:val="20"/>
          <w:szCs w:val="20"/>
        </w:rPr>
        <w:t xml:space="preserve">Doing Density Better is calling for planning that puts people first. Its eight policy priorities are:</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Plan Density Well</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Prioritise Infrastructure</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Prevent Net Housing Loss</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Deliver Perpetual Affordable Housing</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Enhance Liveability and Sustainability</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Protect Environment and Heritage</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Suspend Low and Mid-Rise Housing provisions to allow community involvement</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Stop State Significant Development for apartments and restore local consent authority</w:t>
      </w:r>
    </w:p>
    <w:p>
      <w:pPr>
        <w:spacing w:after="80" w:before="0"/>
      </w:pPr>
    </w:p>
    <w:p>
      <w:pPr>
        <w:spacing w:after="140" w:before="0" w:line="276" w:lineRule="auto"/>
        <w:jc w:val="left"/>
      </w:pPr>
      <w:r>
        <w:rPr>
          <w:rFonts w:ascii="Arial" w:cs="Arial" w:eastAsia="Arial" w:hAnsi="Arial"/>
          <w:b/>
          <w:bCs/>
          <w:i w:val="false"/>
          <w:iCs w:val="false"/>
          <w:caps/>
          <w:color w:val="5c8a1e"/>
          <w:sz w:val="19"/>
          <w:szCs w:val="19"/>
        </w:rPr>
        <w:t xml:space="preserve">Speakers at the Event</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Speakers include Jacqui Brosnan, Chair, Doing Density Better and President, Drummoyne Responsible Development Action Group; Dr Elizabeth Farrelly, writer, urbanist, columnist, essayist, broadcaster and author; Louise Lin, Founder, Concord West North Strathfield Locals; Professor Philip Thalis, architect and urban designer; Jethro Mulder, spokesperson, Mosman Matters; Diana Pryde, President, Chatswood West Ward Progress Association; Peter Sheridan, Chairman, Potts Point Preservation Group; and Amanda Bull, President and Founder, Burwood North Community Action Group.</w:t>
      </w:r>
    </w:p>
    <w:p>
      <w:pPr>
        <w:spacing w:after="80" w:before="0"/>
      </w:pPr>
    </w:p>
    <w:p>
      <w:pPr>
        <w:spacing w:after="200" w:before="0" w:line="276" w:lineRule="auto"/>
        <w:jc w:val="left"/>
      </w:pPr>
      <w:r>
        <w:rPr>
          <w:rFonts w:ascii="Arial" w:cs="Arial" w:eastAsia="Arial" w:hAnsi="Arial"/>
          <w:b/>
          <w:bCs/>
          <w:i w:val="false"/>
          <w:iCs w:val="false"/>
          <w:caps w:val="false"/>
          <w:color w:val="1e2d3a"/>
          <w:sz w:val="21"/>
          <w:szCs w:val="21"/>
        </w:rPr>
        <w:t xml:space="preserve">ENDS</w:t>
      </w:r>
    </w:p>
    <w:p>
      <w:pPr>
        <w:spacing w:after="140" w:before="0" w:line="276" w:lineRule="auto"/>
        <w:jc w:val="left"/>
      </w:pPr>
      <w:r>
        <w:rPr>
          <w:rFonts w:ascii="Arial" w:cs="Arial" w:eastAsia="Arial" w:hAnsi="Arial"/>
          <w:b/>
          <w:bCs/>
          <w:i w:val="false"/>
          <w:iCs w:val="false"/>
          <w:caps/>
          <w:color w:val="5c8a1e"/>
          <w:sz w:val="19"/>
          <w:szCs w:val="19"/>
        </w:rPr>
        <w:t xml:space="preserve">Media Contact</w:t>
      </w:r>
    </w:p>
    <w:p>
      <w:pPr>
        <w:spacing w:after="60" w:before="0" w:line="276" w:lineRule="auto"/>
        <w:jc w:val="left"/>
      </w:pPr>
      <w:r>
        <w:rPr>
          <w:rFonts w:ascii="Arial" w:cs="Arial" w:eastAsia="Arial" w:hAnsi="Arial"/>
          <w:b/>
          <w:bCs/>
          <w:i w:val="false"/>
          <w:iCs w:val="false"/>
          <w:caps w:val="false"/>
          <w:color w:val="1a1a1a"/>
          <w:sz w:val="19"/>
          <w:szCs w:val="19"/>
        </w:rPr>
        <w:t xml:space="preserve">Amanda Bull</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Instagram: instagram.com/DoingDensityBetter</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Facebook: facebook.com/profile.php?id=61590305767232</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Email: doingdensitybetter@gmail.com</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Web: doing-density-better.netlify.app</w:t>
      </w:r>
    </w:p>
    <w:p>
      <w:pPr>
        <w:spacing w:after="80" w:before="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single" w:color="CCCCCC" w:sz="4"/>
              <w:left w:val="single" w:color="CCCCCC" w:sz="4"/>
              <w:bottom w:val="single" w:color="CCCCCC" w:sz="4"/>
              <w:right w:val="single" w:color="CCCCCC" w:sz="4"/>
            </w:tcBorders>
            <w:shd w:fill="F4F4F1" w:val="clear"/>
            <w:tcMar>
              <w:top w:type="dxa" w:w="220"/>
              <w:left w:type="dxa" w:w="260"/>
              <w:bottom w:type="dxa" w:w="220"/>
              <w:right w:type="dxa" w:w="260"/>
            </w:tcMar>
          </w:tcPr>
          <w:p>
            <w:pPr>
              <w:spacing w:after="140" w:before="0" w:line="276" w:lineRule="auto"/>
              <w:jc w:val="left"/>
            </w:pPr>
            <w:r>
              <w:rPr>
                <w:rFonts w:ascii="Arial" w:cs="Arial" w:eastAsia="Arial" w:hAnsi="Arial"/>
                <w:b/>
                <w:bCs/>
                <w:i w:val="false"/>
                <w:iCs w:val="false"/>
                <w:caps/>
                <w:color w:val="1e2d3a"/>
                <w:sz w:val="19"/>
                <w:szCs w:val="19"/>
              </w:rPr>
              <w:t xml:space="preserve">NOTES TO EDITORS</w:t>
            </w:r>
          </w:p>
          <w:p>
            <w:pPr>
              <w:spacing w:after="80" w:before="0" w:line="276" w:lineRule="auto"/>
              <w:jc w:val="left"/>
            </w:pPr>
            <w:r>
              <w:rPr>
                <w:rFonts w:ascii="Arial" w:cs="Arial" w:eastAsia="Arial" w:hAnsi="Arial"/>
                <w:b/>
                <w:bCs/>
                <w:i w:val="false"/>
                <w:iCs w:val="false"/>
                <w:caps w:val="false"/>
                <w:color w:val="3b6d11"/>
                <w:sz w:val="18"/>
                <w:szCs w:val="18"/>
              </w:rPr>
              <w:t xml:space="preserve">Member groups</w:t>
            </w:r>
          </w:p>
          <w:p>
            <w:pPr>
              <w:spacing w:after="140" w:before="0" w:line="276" w:lineRule="auto"/>
              <w:jc w:val="left"/>
            </w:pPr>
            <w:r>
              <w:rPr>
                <w:rFonts w:ascii="Arial" w:cs="Arial" w:eastAsia="Arial" w:hAnsi="Arial"/>
                <w:b w:val="false"/>
                <w:bCs w:val="false"/>
                <w:i w:val="false"/>
                <w:iCs w:val="false"/>
                <w:caps w:val="false"/>
                <w:color w:val="444444"/>
                <w:sz w:val="18"/>
                <w:szCs w:val="18"/>
              </w:rPr>
              <w:t xml:space="preserve">Better Planning Network; Better Future Coalition; Bronte Community; Canada Bay; Chatswood West Ward Progress Association; Concord &amp; Burwood North Community; Concord West North Strathfield Locals; Drummoyne Responsible Development; Epping Civic Trust; Friends of Ku-ring-gai Environment; Galston Area Residents Association; Leichhardt Matters; Mosman Matters; The Paddington Society; Paddington United; Potts Point Preservation Group; Protecting Your Suburban Environment (PYSE Inc); Rhodes Speak Up Community; Save Dully; Save Marrickville; SOS Waverley; and The Glebe Society.</w:t>
            </w:r>
          </w:p>
          <w:p>
            <w:pPr>
              <w:spacing w:after="0" w:before="0" w:line="276" w:lineRule="auto"/>
              <w:jc w:val="left"/>
            </w:pPr>
            <w:r>
              <w:rPr>
                <w:rFonts w:ascii="Arial" w:cs="Arial" w:eastAsia="Arial" w:hAnsi="Arial"/>
                <w:b w:val="false"/>
                <w:bCs w:val="false"/>
                <w:i/>
                <w:iCs/>
                <w:caps w:val="false"/>
                <w:color w:val="444444"/>
                <w:sz w:val="18"/>
                <w:szCs w:val="18"/>
              </w:rPr>
              <w:t xml:space="preserve">Doing Density Better is a Working Group of Better Planning Network Inc, which has advocated for better planning outcomes in NSW since 2012.</w:t>
            </w:r>
          </w:p>
        </w:tc>
      </w:tr>
    </w:tbl>
    <w:p>
      <w:pPr>
        <w:spacing w:after="0" w:before="200" w:line="276" w:lineRule="auto"/>
        <w:jc w:val="center"/>
      </w:pPr>
      <w:r>
        <w:rPr>
          <w:rFonts w:ascii="Arial" w:cs="Arial" w:eastAsia="Arial" w:hAnsi="Arial"/>
          <w:b w:val="false"/>
          <w:bCs w:val="false"/>
          <w:i w:val="false"/>
          <w:iCs w:val="false"/>
          <w:caps w:val="false"/>
          <w:color w:val="777777"/>
          <w:sz w:val="15"/>
          <w:szCs w:val="15"/>
        </w:rPr>
        <w:t xml:space="preserve">Doing Density Better  |  doingdensitybetter@gmail.com</w:t>
      </w:r>
      <w:r>
        <w:rPr>
          <w:rFonts w:ascii="Arial" w:cs="Arial" w:eastAsia="Arial" w:hAnsi="Arial"/>
          <w:b w:val="false"/>
          <w:bCs w:val="false"/>
          <w:i w:val="false"/>
          <w:iCs w:val="false"/>
          <w:caps w:val="false"/>
          <w:color w:val="777777"/>
          <w:sz w:val="15"/>
          <w:szCs w:val="15"/>
        </w:rPr>
        <w:t xml:space="preserve">   —   Page 2 of 2</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2026-07-19T09:40:10.033Z</dcterms:created>
  <dcterms:modified xsi:type="dcterms:W3CDTF">2026-07-19T09:40:10.044Z</dcterms:modified>
</cp:coreProperties>
</file>

<file path=docProps/custom.xml><?xml version="1.0" encoding="utf-8"?>
<Properties xmlns="http://schemas.openxmlformats.org/officeDocument/2006/custom-properties" xmlns:vt="http://schemas.openxmlformats.org/officeDocument/2006/docPropsVTypes"/>
</file>