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e2d3a" w:val="clear"/>
            <w:tcMar>
              <w:top w:type="dxa" w:w="220"/>
              <w:left w:type="dxa" w:w="260"/>
              <w:bottom w:type="dxa" w:w="160"/>
              <w:right w:type="dxa" w:w="260"/>
            </w:tcMar>
          </w:tcPr>
          <w:tbl>
            <w:tblPr>
              <w:tblW w:type="dxa" w:w="8840"/>
              <w:tblBorders>
                <w:top w:val="none" w:color="FFFFFF" w:sz="0"/>
                <w:left w:val="none" w:color="FFFFFF" w:sz="0"/>
                <w:bottom w:val="none" w:color="FFFFFF" w:sz="0"/>
                <w:right w:val="none" w:color="FFFFFF" w:sz="0"/>
                <w:insideH w:val="single" w:color="auto" w:sz="4"/>
                <w:insideV w:val="single" w:color="auto" w:sz="4"/>
              </w:tblBorders>
            </w:tblPr>
            <w:tblGrid>
              <w:gridCol w:w="100"/>
              <w:gridCol w:w="100"/>
            </w:tblGrid>
            <w:tr>
              <w:tc>
                <w:tcPr>
                  <w:tcW w:type="dxa" w:w="900"/>
                  <w:tcBorders>
                    <w:top w:val="none" w:color="FFFFFF" w:sz="0"/>
                    <w:left w:val="none" w:color="FFFFFF" w:sz="0"/>
                    <w:bottom w:val="none" w:color="FFFFFF" w:sz="0"/>
                    <w:right w:val="none" w:color="FFFFFF" w:sz="0"/>
                  </w:tcBorders>
                  <w:vAlign w:val="center"/>
                </w:tcPr>
                <w:p/>
                <w:tbl>
                  <w:tblPr>
                    <w:tblW w:type="dxa" w:w="780"/>
                    <w:tblBorders>
                      <w:top w:val="none" w:color="FFFFFF" w:sz="0"/>
                      <w:left w:val="none" w:color="FFFFFF" w:sz="0"/>
                      <w:bottom w:val="none" w:color="FFFFFF" w:sz="0"/>
                      <w:right w:val="none" w:color="FFFFFF" w:sz="0"/>
                      <w:insideH w:val="single" w:color="auto" w:sz="4"/>
                      <w:insideV w:val="single" w:color="auto" w:sz="4"/>
                    </w:tblBorders>
                  </w:tblPr>
                  <w:tblGrid>
                    <w:gridCol w:w="100"/>
                    <w:gridCol w:w="100"/>
                    <w:gridCol w:w="100"/>
                  </w:tblGrid>
                  <w:tr>
                    <w:tc>
                      <w:tcPr>
                        <w:tcW w:type="dxa" w:w="220"/>
                        <w:tcBorders>
                          <w:top w:val="none" w:color="FFFFFF" w:sz="0"/>
                          <w:left w:val="none" w:color="FFFFFF" w:sz="0"/>
                          <w:bottom w:val="none" w:color="FFFFFF" w:sz="0"/>
                          <w:right w:val="none" w:color="FFFFFF" w:sz="0"/>
                        </w:tcBorders>
                        <w:shd w:fill="cfcfcf"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9a9a9a"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5c8a1e" w:val="clear"/>
                        <w:tcMar>
                          <w:top w:type="dxa" w:w="20"/>
                          <w:left w:type="dxa" w:w="20"/>
                          <w:bottom w:type="dxa" w:w="20"/>
                          <w:right w:type="dxa" w:w="20"/>
                        </w:tcMar>
                      </w:tcPr>
                      <w:p/>
                    </w:tc>
                  </w:tr>
                  <w:tr>
                    <w:tc>
                      <w:tcPr>
                        <w:tcW w:type="dxa" w:w="220"/>
                        <w:tcBorders>
                          <w:top w:val="none" w:color="FFFFFF" w:sz="0"/>
                          <w:left w:val="none" w:color="FFFFFF" w:sz="0"/>
                          <w:bottom w:val="none" w:color="FFFFFF" w:sz="0"/>
                          <w:right w:val="none" w:color="FFFFFF" w:sz="0"/>
                        </w:tcBorders>
                        <w:shd w:fill="9a9a9a"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5c8a1e"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cfcfcf" w:val="clear"/>
                        <w:tcMar>
                          <w:top w:type="dxa" w:w="20"/>
                          <w:left w:type="dxa" w:w="20"/>
                          <w:bottom w:type="dxa" w:w="20"/>
                          <w:right w:type="dxa" w:w="20"/>
                        </w:tcMar>
                      </w:tcPr>
                      <w:p/>
                    </w:tc>
                  </w:tr>
                  <w:tr>
                    <w:tc>
                      <w:tcPr>
                        <w:tcW w:type="dxa" w:w="220"/>
                        <w:tcBorders>
                          <w:top w:val="none" w:color="FFFFFF" w:sz="0"/>
                          <w:left w:val="none" w:color="FFFFFF" w:sz="0"/>
                          <w:bottom w:val="none" w:color="FFFFFF" w:sz="0"/>
                          <w:right w:val="none" w:color="FFFFFF" w:sz="0"/>
                        </w:tcBorders>
                        <w:shd w:fill="5c8a1e"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cfcfcf" w:val="clear"/>
                        <w:tcMar>
                          <w:top w:type="dxa" w:w="20"/>
                          <w:left w:type="dxa" w:w="20"/>
                          <w:bottom w:type="dxa" w:w="20"/>
                          <w:right w:type="dxa" w:w="20"/>
                        </w:tcMar>
                      </w:tcPr>
                      <w:p/>
                    </w:tc>
                    <w:tc>
                      <w:tcPr>
                        <w:tcW w:type="dxa" w:w="220"/>
                        <w:tcBorders>
                          <w:top w:val="none" w:color="FFFFFF" w:sz="0"/>
                          <w:left w:val="none" w:color="FFFFFF" w:sz="0"/>
                          <w:bottom w:val="none" w:color="FFFFFF" w:sz="0"/>
                          <w:right w:val="none" w:color="FFFFFF" w:sz="0"/>
                        </w:tcBorders>
                        <w:shd w:fill="9a9a9a" w:val="clear"/>
                        <w:tcMar>
                          <w:top w:type="dxa" w:w="20"/>
                          <w:left w:type="dxa" w:w="20"/>
                          <w:bottom w:type="dxa" w:w="20"/>
                          <w:right w:type="dxa" w:w="20"/>
                        </w:tcMar>
                      </w:tcPr>
                      <w:p/>
                    </w:tc>
                  </w:tr>
                </w:tbl>
                <w:p/>
              </w:tc>
              <w:tc>
                <w:tcPr>
                  <w:tcW w:type="dxa" w:w="7940"/>
                  <w:tcBorders>
                    <w:top w:val="none" w:color="FFFFFF" w:sz="0"/>
                    <w:left w:val="none" w:color="FFFFFF" w:sz="0"/>
                    <w:bottom w:val="none" w:color="FFFFFF" w:sz="0"/>
                    <w:right w:val="none" w:color="FFFFFF" w:sz="0"/>
                  </w:tcBorders>
                  <w:tcMar>
                    <w:left w:type="dxa" w:w="200"/>
                  </w:tcMar>
                  <w:vAlign w:val="center"/>
                </w:tcPr>
                <w:p>
                  <w:pPr>
                    <w:spacing w:after="20" w:before="0" w:line="276" w:lineRule="auto"/>
                    <w:jc w:val="left"/>
                  </w:pPr>
                  <w:r>
                    <w:rPr>
                      <w:rFonts w:ascii="Arial" w:cs="Arial" w:eastAsia="Arial" w:hAnsi="Arial"/>
                      <w:b/>
                      <w:bCs/>
                      <w:i w:val="false"/>
                      <w:iCs w:val="false"/>
                      <w:caps/>
                      <w:color w:val="FFFFFF"/>
                      <w:sz w:val="30"/>
                      <w:szCs w:val="30"/>
                    </w:rPr>
                    <w:t xml:space="preserve">DOING DENSITY BETTER</w:t>
                  </w:r>
                </w:p>
                <w:p>
                  <w:pPr>
                    <w:spacing w:after="0" w:before="0" w:line="276" w:lineRule="auto"/>
                    <w:jc w:val="left"/>
                  </w:pPr>
                  <w:r>
                    <w:rPr>
                      <w:rFonts w:ascii="Arial" w:cs="Arial" w:eastAsia="Arial" w:hAnsi="Arial"/>
                      <w:b w:val="false"/>
                      <w:bCs w:val="false"/>
                      <w:i w:val="false"/>
                      <w:iCs w:val="false"/>
                      <w:caps w:val="false"/>
                      <w:color w:val="d4e8a0"/>
                      <w:sz w:val="16"/>
                      <w:szCs w:val="16"/>
                    </w:rPr>
                    <w:t xml:space="preserve">An alliance of NSW community groups  |  part of the Better Planning Network</w:t>
                  </w:r>
                </w:p>
              </w:tc>
            </w:tr>
          </w:tbl>
          <w:p/>
        </w:tc>
      </w:tr>
      <w:tr>
        <w:tc>
          <w:tcPr>
            <w:tcW w:type="dxa" w:w="9360"/>
            <w:tcBorders>
              <w:top w:val="none" w:color="FFFFFF" w:sz="0"/>
              <w:left w:val="none" w:color="FFFFFF" w:sz="0"/>
              <w:bottom w:val="none" w:color="FFFFFF" w:sz="0"/>
              <w:right w:val="none" w:color="FFFFFF" w:sz="0"/>
            </w:tcBorders>
            <w:shd w:fill="5c8a1e" w:val="clear"/>
            <w:tcMar>
              <w:top w:type="dxa" w:w="90"/>
              <w:left w:type="dxa" w:w="260"/>
              <w:bottom w:type="dxa" w:w="90"/>
              <w:right w:type="dxa" w:w="260"/>
            </w:tcMar>
          </w:tcPr>
          <w:p>
            <w:pPr>
              <w:spacing w:after="0" w:before="0" w:line="276" w:lineRule="auto"/>
              <w:jc w:val="left"/>
            </w:pPr>
            <w:r>
              <w:rPr>
                <w:rFonts w:ascii="Arial" w:cs="Arial" w:eastAsia="Arial" w:hAnsi="Arial"/>
                <w:b/>
                <w:bCs/>
                <w:i w:val="false"/>
                <w:iCs w:val="false"/>
                <w:caps/>
                <w:color w:val="FFFFFF"/>
                <w:sz w:val="17"/>
                <w:szCs w:val="17"/>
              </w:rPr>
              <w:t xml:space="preserve">FOR IMMEDIATE RELEASE  |  TUESDAY 14 JULY 2026  |  EMBARGO: NIL  |  2 PAGES</w:t>
            </w:r>
          </w:p>
        </w:tc>
      </w:tr>
    </w:tbl>
    <w:p>
      <w:pPr>
        <w:spacing w:after="80" w:before="0"/>
      </w:pPr>
    </w:p>
    <w:p>
      <w:pPr>
        <w:spacing w:after="140" w:before="0" w:line="276" w:lineRule="auto"/>
        <w:jc w:val="left"/>
      </w:pPr>
      <w:r>
        <w:rPr>
          <w:rFonts w:ascii="Arial" w:cs="Arial" w:eastAsia="Arial" w:hAnsi="Arial"/>
          <w:b/>
          <w:bCs/>
          <w:i w:val="false"/>
          <w:iCs w:val="false"/>
          <w:caps/>
          <w:color w:val="5c8a1e"/>
          <w:sz w:val="19"/>
          <w:szCs w:val="19"/>
        </w:rPr>
        <w:t xml:space="preserve">Media Release</w:t>
      </w:r>
    </w:p>
    <w:p>
      <w:pPr>
        <w:pBdr>
          <w:bottom w:val="single" w:color="5c8a1e" w:sz="6"/>
        </w:pBdr>
        <w:spacing w:after="160" w:before="220" w:line="276" w:lineRule="auto"/>
        <w:jc w:val="left"/>
      </w:pPr>
      <w:r>
        <w:rPr>
          <w:rFonts w:ascii="Arial" w:cs="Arial" w:eastAsia="Arial" w:hAnsi="Arial"/>
          <w:b/>
          <w:bCs/>
          <w:i w:val="false"/>
          <w:iCs w:val="false"/>
          <w:caps w:val="false"/>
          <w:color w:val="1e2d3a"/>
          <w:sz w:val="30"/>
          <w:szCs w:val="30"/>
        </w:rPr>
        <w:t xml:space="preserve">ABC Four Corners Exposes Failure of Privatised Affordable Housing</w:t>
      </w:r>
    </w:p>
    <w:p>
      <w:pPr>
        <w:spacing w:after="200" w:before="0" w:line="276" w:lineRule="auto"/>
        <w:jc w:val="left"/>
      </w:pPr>
      <w:r>
        <w:rPr>
          <w:rFonts w:ascii="Arial" w:cs="Arial" w:eastAsia="Arial" w:hAnsi="Arial"/>
          <w:b/>
          <w:bCs/>
          <w:i w:val="false"/>
          <w:iCs w:val="false"/>
          <w:caps w:val="false"/>
          <w:color w:val="3b6d11"/>
          <w:sz w:val="24"/>
          <w:szCs w:val="24"/>
        </w:rPr>
        <w:t xml:space="preserve">Doing Density Better calls for independent inquiry into NSW developer bonus scheme</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Following last night’s Four Corners investigation, Doing Density Better says Australia’s increasing reliance on private developers and investors to deliver affordable housing is not working for the people who most need secure and genuinely affordable homes.</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The Four Corners investigation found serious deficiencies in affordable rental housing schemes, including properties advertised at rents beyond the reach of lower-income households, rents calculated using questionable market comparisons, and applicants apparently rejected because their incomes were too low. In some cases, housing classified as “affordable” was advertised above median market rents.</w:t>
      </w: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Doing Density Better Chair, Jacqui Brosnan, said the investigation demonstrated the danger of treating affordable housing primarily as an investment product.</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“Tonight’s Four Corners showed what happens when governments rely on private market mechanisms to solve a problem the private market has helped to create,” Ms Brosnan said.</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“Discounting an inflated market rent does not necessarily produce affordable housing.”</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“When people are too poor to qualify for an affordable home or are pushed into housing stress while their landlord remains within the rules, the system is fundamentally broken.”</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“Public money and public planning concessions should be used to provide secure, genuinely affordable housing—not to generate windfall benefits for developers and institutional investors.”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single" w:color="5c8a1e" w:sz="8"/>
              <w:left w:val="single" w:color="5c8a1e" w:sz="8"/>
              <w:bottom w:val="single" w:color="5c8a1e" w:sz="8"/>
              <w:right w:val="single" w:color="5c8a1e" w:sz="8"/>
            </w:tcBorders>
            <w:shd w:fill="eef7de" w:val="clear"/>
            <w:tcMar>
              <w:top w:type="dxa" w:w="180"/>
              <w:left w:type="dxa" w:w="220"/>
              <w:bottom w:type="dxa" w:w="180"/>
              <w:right w:type="dxa" w:w="220"/>
            </w:tcMar>
          </w:tcPr>
          <w:p>
            <w:pPr>
              <w:spacing w:after="0" w:before="0" w:line="276" w:lineRule="auto"/>
              <w:jc w:val="left"/>
            </w:pPr>
            <w:r>
              <w:rPr>
                <w:rFonts w:ascii="Arial" w:cs="Arial" w:eastAsia="Arial" w:hAnsi="Arial"/>
                <w:b/>
                <w:bCs/>
                <w:i w:val="false"/>
                <w:iCs w:val="false"/>
                <w:caps w:val="false"/>
                <w:color w:val="3b6d11"/>
                <w:sz w:val="21"/>
                <w:szCs w:val="21"/>
              </w:rPr>
              <w:t xml:space="preserve">Doing Density Better is calling for an independent public inquiry into the delivery and regulation of affordable housing in New South Wales, with scrutiny of the in-fill affordable housing bonus provisions under the State Environmental Planning Policy (Housing) 2021.</w:t>
            </w:r>
          </w:p>
        </w:tc>
      </w:tr>
    </w:tbl>
    <w:p>
      <w:pPr>
        <w:spacing w:after="80" w:before="0"/>
      </w:pPr>
    </w:p>
    <w:p>
      <w:pPr>
        <w:spacing w:after="160" w:before="0" w:line="276" w:lineRule="auto"/>
        <w:jc w:val="left"/>
      </w:pPr>
      <w:r>
        <w:rPr>
          <w:rFonts w:ascii="Arial" w:cs="Arial" w:eastAsia="Arial" w:hAnsi="Arial"/>
          <w:b w:val="false"/>
          <w:bCs w:val="false"/>
          <w:i w:val="false"/>
          <w:iCs w:val="false"/>
          <w:caps w:val="false"/>
          <w:color w:val="1a1a1a"/>
          <w:sz w:val="20"/>
          <w:szCs w:val="20"/>
        </w:rPr>
        <w:t xml:space="preserve">Under these provisions, private developments incorporating a minimum affordable housing component can receive additional floor space ratio and building height of up to 30 per cent. However, the affordable housing component is generally required to remain affordable for only a minimum of 15 years.</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“The planning uplift and the additional value it creates for a development are permanent, but the affordable housing ends after just 15 years,” Ms Brosnan said.</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“The public gives away additional height, density and development value forever, while the public benefit is temporary.”</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“Communities are repeatedly told to accept larger and taller developments because they will deliver affordable housing. We need to know whether the affordable homes being produced are genuinely affordable, who can live in them and whether the value received by the community comes anywhere close to the value handed to developers.”</w:t>
      </w:r>
    </w:p>
    <w:p>
      <w:pPr>
        <w:spacing w:after="0" w:before="200" w:line="276" w:lineRule="auto"/>
        <w:jc w:val="center"/>
      </w:pPr>
      <w:r>
        <w:rPr>
          <w:rFonts w:ascii="Arial" w:cs="Arial" w:eastAsia="Arial" w:hAnsi="Arial"/>
          <w:b w:val="false"/>
          <w:bCs w:val="false"/>
          <w:i w:val="false"/>
          <w:iCs w:val="false"/>
          <w:caps w:val="false"/>
          <w:color w:val="777777"/>
          <w:sz w:val="15"/>
          <w:szCs w:val="15"/>
        </w:rPr>
        <w:t xml:space="preserve">Doing Density Better  |  doingdensitybetter@gmail.com</w:t>
      </w:r>
      <w:r>
        <w:rPr>
          <w:rFonts w:ascii="Arial" w:cs="Arial" w:eastAsia="Arial" w:hAnsi="Arial"/>
          <w:b w:val="false"/>
          <w:bCs w:val="false"/>
          <w:i w:val="false"/>
          <w:iCs w:val="false"/>
          <w:caps w:val="false"/>
          <w:color w:val="777777"/>
          <w:sz w:val="15"/>
          <w:szCs w:val="15"/>
        </w:rPr>
        <w:t xml:space="preserve">   —   Page 1 of 2</w:t>
      </w:r>
    </w:p>
    <w:p>
      <w:pPr>
        <w:pageBreakBefore/>
      </w:pPr>
    </w:p>
    <w:p>
      <w:pPr>
        <w:spacing w:after="140" w:before="0" w:line="276" w:lineRule="auto"/>
        <w:jc w:val="left"/>
      </w:pPr>
      <w:r>
        <w:rPr>
          <w:rFonts w:ascii="Arial" w:cs="Arial" w:eastAsia="Arial" w:hAnsi="Arial"/>
          <w:b/>
          <w:bCs/>
          <w:i w:val="false"/>
          <w:iCs w:val="false"/>
          <w:caps/>
          <w:color w:val="5c8a1e"/>
          <w:sz w:val="19"/>
          <w:szCs w:val="19"/>
        </w:rPr>
        <w:t xml:space="preserve">The Inquiry Should Examine</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Whether rents are genuinely affordable for very low, low and moderate-income households</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The use of market-rent estimates and discounted market rents to determine affordability</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Whether affordable homes are being left vacant or are inaccessible to people because their incomes are too low</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Whether developments are producing a genuine net increase in affordable housing, particularly where existing lower-cost rental homes are demolished</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The operation of the bonuses through the State Significant Development pathway</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The total value of height and floor space ratio bonuses granted to developers compared with the number, type and duration of affordable homes delivered</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The adequacy of monitoring, compliance and public reporting</w:t>
      </w:r>
    </w:p>
    <w:p>
      <w:pPr>
        <w:spacing w:after="100" w:before="0" w:line="276" w:lineRule="auto"/>
      </w:pPr>
      <w:r>
        <w:rPr>
          <w:rFonts w:ascii="Arial" w:cs="Arial" w:eastAsia="Arial" w:hAnsi="Arial"/>
          <w:b/>
          <w:bCs/>
          <w:i w:val="false"/>
          <w:iCs w:val="false"/>
          <w:caps w:val="false"/>
          <w:color w:val="5c8a1e"/>
          <w:sz w:val="20"/>
          <w:szCs w:val="20"/>
        </w:rPr>
        <w:t xml:space="preserve">●  </w:t>
      </w:r>
      <w:r>
        <w:rPr>
          <w:rFonts w:ascii="Arial" w:cs="Arial" w:eastAsia="Arial" w:hAnsi="Arial"/>
          <w:b w:val="false"/>
          <w:bCs w:val="false"/>
          <w:i w:val="false"/>
          <w:iCs w:val="false"/>
          <w:caps w:val="false"/>
          <w:color w:val="1a1a1a"/>
          <w:sz w:val="20"/>
          <w:szCs w:val="20"/>
        </w:rPr>
        <w:t xml:space="preserve">Whether affordable housing provided in exchange for permanent planning concessions should be retained in perpetuity</w:t>
      </w:r>
    </w:p>
    <w:p>
      <w:pPr>
        <w:spacing w:after="80" w:before="0"/>
      </w:pP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“Developers should not be able to demolish existing lower-cost homes, construct predominantly luxury apartments, receive substantial height and density bonuses, and then present a small number of temporarily discounted apartments as an adequate public benefit,” Ms Brosnan said.</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“The NSW Government must demonstrate that its affordable housing policies are delivering for people in housing need — not simply improving the profitability of private developments.</w:t>
      </w:r>
    </w:p>
    <w:p>
      <w:pPr>
        <w:pBdr>
          <w:left w:val="single" w:color="5c8a1e" w:sz="18"/>
        </w:pBdr>
        <w:spacing w:after="160" w:before="0" w:line="276" w:lineRule="auto"/>
        <w:jc w:val="left"/>
      </w:pPr>
      <w:r>
        <w:rPr>
          <w:rFonts w:ascii="Arial" w:cs="Arial" w:eastAsia="Arial" w:hAnsi="Arial"/>
          <w:b w:val="false"/>
          <w:bCs w:val="false"/>
          <w:i/>
          <w:iCs/>
          <w:caps w:val="false"/>
          <w:color w:val="1e2d3a"/>
          <w:sz w:val="20"/>
          <w:szCs w:val="20"/>
        </w:rPr>
        <w:t xml:space="preserve">“Affordable housing must be affordable in reality, not merely in name.”</w:t>
      </w:r>
    </w:p>
    <w:p>
      <w:pPr>
        <w:spacing w:after="80" w:before="0"/>
      </w:pPr>
    </w:p>
    <w:p>
      <w:pPr>
        <w:spacing w:after="200" w:before="0" w:line="276" w:lineRule="auto"/>
        <w:jc w:val="left"/>
      </w:pPr>
      <w:r>
        <w:rPr>
          <w:rFonts w:ascii="Arial" w:cs="Arial" w:eastAsia="Arial" w:hAnsi="Arial"/>
          <w:b/>
          <w:bCs/>
          <w:i w:val="false"/>
          <w:iCs w:val="false"/>
          <w:caps w:val="false"/>
          <w:color w:val="1e2d3a"/>
          <w:sz w:val="21"/>
          <w:szCs w:val="21"/>
        </w:rPr>
        <w:t xml:space="preserve">ENDS</w:t>
      </w:r>
    </w:p>
    <w:p>
      <w:pPr>
        <w:spacing w:after="140" w:before="0" w:line="276" w:lineRule="auto"/>
        <w:jc w:val="left"/>
      </w:pPr>
      <w:r>
        <w:rPr>
          <w:rFonts w:ascii="Arial" w:cs="Arial" w:eastAsia="Arial" w:hAnsi="Arial"/>
          <w:b/>
          <w:bCs/>
          <w:i w:val="false"/>
          <w:iCs w:val="false"/>
          <w:caps/>
          <w:color w:val="5c8a1e"/>
          <w:sz w:val="19"/>
          <w:szCs w:val="19"/>
        </w:rPr>
        <w:t xml:space="preserve">Media Contact</w:t>
      </w:r>
    </w:p>
    <w:p>
      <w:pPr>
        <w:spacing w:after="60" w:before="0" w:line="276" w:lineRule="auto"/>
        <w:jc w:val="left"/>
      </w:pPr>
      <w:r>
        <w:rPr>
          <w:rFonts w:ascii="Arial" w:cs="Arial" w:eastAsia="Arial" w:hAnsi="Arial"/>
          <w:b/>
          <w:bCs/>
          <w:i w:val="false"/>
          <w:iCs w:val="false"/>
          <w:caps w:val="false"/>
          <w:color w:val="1a1a1a"/>
          <w:sz w:val="19"/>
          <w:szCs w:val="19"/>
        </w:rPr>
        <w:t xml:space="preserve">Tony Roscioli, 0432 221 501</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Instagram: instagram.com/DoingDensityBetter</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Facebook: facebook.com/profile.php?id=61590305767232</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Email: doingdensitybetter@gmail.com</w:t>
      </w:r>
    </w:p>
    <w:p>
      <w:pPr>
        <w:spacing w:after="60" w:before="0" w:line="276" w:lineRule="auto"/>
        <w:jc w:val="left"/>
      </w:pPr>
      <w:r>
        <w:rPr>
          <w:rFonts w:ascii="Arial" w:cs="Arial" w:eastAsia="Arial" w:hAnsi="Arial"/>
          <w:b w:val="false"/>
          <w:bCs w:val="false"/>
          <w:i w:val="false"/>
          <w:iCs w:val="false"/>
          <w:caps w:val="false"/>
          <w:color w:val="1a1a1a"/>
          <w:sz w:val="19"/>
          <w:szCs w:val="19"/>
        </w:rPr>
        <w:t xml:space="preserve">Web: doing-density-better.netlify.app</w:t>
      </w:r>
    </w:p>
    <w:p>
      <w:pPr>
        <w:spacing w:after="80" w:before="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single" w:color="CCCCCC" w:sz="4"/>
              <w:left w:val="single" w:color="CCCCCC" w:sz="4"/>
              <w:bottom w:val="single" w:color="CCCCCC" w:sz="4"/>
              <w:right w:val="single" w:color="CCCCCC" w:sz="4"/>
            </w:tcBorders>
            <w:shd w:fill="F4F4F1" w:val="clear"/>
            <w:tcMar>
              <w:top w:type="dxa" w:w="220"/>
              <w:left w:type="dxa" w:w="260"/>
              <w:bottom w:type="dxa" w:w="220"/>
              <w:right w:type="dxa" w:w="260"/>
            </w:tcMar>
          </w:tcPr>
          <w:p>
            <w:pPr>
              <w:spacing w:after="140" w:before="0" w:line="276" w:lineRule="auto"/>
              <w:jc w:val="left"/>
            </w:pPr>
            <w:r>
              <w:rPr>
                <w:rFonts w:ascii="Arial" w:cs="Arial" w:eastAsia="Arial" w:hAnsi="Arial"/>
                <w:b/>
                <w:bCs/>
                <w:i w:val="false"/>
                <w:iCs w:val="false"/>
                <w:caps/>
                <w:color w:val="1e2d3a"/>
                <w:sz w:val="19"/>
                <w:szCs w:val="19"/>
              </w:rPr>
              <w:t xml:space="preserve">NOTES TO EDITORS</w:t>
            </w:r>
          </w:p>
          <w:p>
            <w:pPr>
              <w:spacing w:after="80" w:before="0" w:line="276" w:lineRule="auto"/>
              <w:jc w:val="left"/>
            </w:pPr>
            <w:r>
              <w:rPr>
                <w:rFonts w:ascii="Arial" w:cs="Arial" w:eastAsia="Arial" w:hAnsi="Arial"/>
                <w:b/>
                <w:bCs/>
                <w:i w:val="false"/>
                <w:iCs w:val="false"/>
                <w:caps w:val="false"/>
                <w:color w:val="3b6d11"/>
                <w:sz w:val="18"/>
                <w:szCs w:val="18"/>
              </w:rPr>
              <w:t xml:space="preserve">Member groups</w:t>
            </w:r>
          </w:p>
          <w:p>
            <w:pPr>
              <w:spacing w:after="140" w:before="0" w:line="276" w:lineRule="auto"/>
              <w:jc w:val="left"/>
            </w:pPr>
            <w:r>
              <w:rPr>
                <w:rFonts w:ascii="Arial" w:cs="Arial" w:eastAsia="Arial" w:hAnsi="Arial"/>
                <w:b w:val="false"/>
                <w:bCs w:val="false"/>
                <w:i w:val="false"/>
                <w:iCs w:val="false"/>
                <w:caps w:val="false"/>
                <w:color w:val="444444"/>
                <w:sz w:val="18"/>
                <w:szCs w:val="18"/>
              </w:rPr>
              <w:t xml:space="preserve">Better Planning Network; Better Future Coalition; Bronte Community; Canada Bay; Chatswood West Ward Progress Association; Concord &amp; Burwood North Community; Concord West North Strathfield Locals; Drummoyne Responsible Development; Epping Civic Trust; Friends of Ku-ring-gai Environment; Galston Area Residents Association; Leichhardt Matters; Mosman Matters; The Paddington Society; Paddington United; Potts Point Preservation Group; Protecting Your Suburban Environment (PYSE Inc); Rhodes Speak Up Community; Save Dully; Save Marrickville; SOS Waverley; and The Glebe Society.</w:t>
            </w:r>
          </w:p>
          <w:p>
            <w:pPr>
              <w:spacing w:after="0" w:before="0" w:line="276" w:lineRule="auto"/>
              <w:jc w:val="left"/>
            </w:pPr>
            <w:r>
              <w:rPr>
                <w:rFonts w:ascii="Arial" w:cs="Arial" w:eastAsia="Arial" w:hAnsi="Arial"/>
                <w:b w:val="false"/>
                <w:bCs w:val="false"/>
                <w:i/>
                <w:iCs/>
                <w:caps w:val="false"/>
                <w:color w:val="444444"/>
                <w:sz w:val="18"/>
                <w:szCs w:val="18"/>
              </w:rPr>
              <w:t xml:space="preserve">Doing Density Better is a Working Group of Better Planning Network Inc, which has advocated for better planning outcomes in NSW since 2012.</w:t>
            </w:r>
          </w:p>
        </w:tc>
      </w:tr>
    </w:tbl>
    <w:p>
      <w:pPr>
        <w:spacing w:after="0" w:before="200" w:line="276" w:lineRule="auto"/>
        <w:jc w:val="center"/>
      </w:pPr>
      <w:r>
        <w:rPr>
          <w:rFonts w:ascii="Arial" w:cs="Arial" w:eastAsia="Arial" w:hAnsi="Arial"/>
          <w:b w:val="false"/>
          <w:bCs w:val="false"/>
          <w:i w:val="false"/>
          <w:iCs w:val="false"/>
          <w:caps w:val="false"/>
          <w:color w:val="777777"/>
          <w:sz w:val="15"/>
          <w:szCs w:val="15"/>
        </w:rPr>
        <w:t xml:space="preserve">Doing Density Better  |  doingdensitybetter@gmail.com</w:t>
      </w:r>
      <w:r>
        <w:rPr>
          <w:rFonts w:ascii="Arial" w:cs="Arial" w:eastAsia="Arial" w:hAnsi="Arial"/>
          <w:b w:val="false"/>
          <w:bCs w:val="false"/>
          <w:i w:val="false"/>
          <w:iCs w:val="false"/>
          <w:caps w:val="false"/>
          <w:color w:val="777777"/>
          <w:sz w:val="15"/>
          <w:szCs w:val="15"/>
        </w:rPr>
        <w:t xml:space="preserve">   —   Page 2 of 2</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2026-07-19T09:40:54.673Z</dcterms:created>
  <dcterms:modified xsi:type="dcterms:W3CDTF">2026-07-19T09:40:54.673Z</dcterms:modified>
</cp:coreProperties>
</file>

<file path=docProps/custom.xml><?xml version="1.0" encoding="utf-8"?>
<Properties xmlns="http://schemas.openxmlformats.org/officeDocument/2006/custom-properties" xmlns:vt="http://schemas.openxmlformats.org/officeDocument/2006/docPropsVTypes"/>
</file>